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AD" w:rsidRDefault="00B53390">
      <w:r>
        <w:t>RESSALVA AO EDITAL DE LEILÃO SEBRAE – AP. nº.001/2021</w:t>
      </w:r>
    </w:p>
    <w:p w:rsidR="00B53390" w:rsidRPr="00472B98" w:rsidRDefault="00B53390" w:rsidP="00B53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11.10.1. Nos casos de não pagamento pelo primeiro arrematante “LANCE VENCEDOR”, o lote será vendido aos participantes por escala descendente dos lances ofertados, até que se chegue ao menor valor aceito. </w:t>
      </w:r>
    </w:p>
    <w:p w:rsidR="00B53390" w:rsidRDefault="00B53390">
      <w:bookmarkStart w:id="0" w:name="_GoBack"/>
      <w:bookmarkEnd w:id="0"/>
    </w:p>
    <w:sectPr w:rsidR="00B53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0"/>
    <w:rsid w:val="004E10AD"/>
    <w:rsid w:val="00B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D8D6-42A6-44EB-8435-44DD2FB8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2021-08-04T09:06:00Z</dcterms:created>
  <dcterms:modified xsi:type="dcterms:W3CDTF">2021-08-04T09:08:00Z</dcterms:modified>
</cp:coreProperties>
</file>